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EFDC" w14:textId="5D22AC9B" w:rsidR="00B43A8C" w:rsidRPr="00B43A8C" w:rsidRDefault="00B43A8C" w:rsidP="00B43A8C">
      <w:pPr>
        <w:pStyle w:val="Balk2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bookmarkStart w:id="0" w:name="_GoBack"/>
      <w:bookmarkEnd w:id="0"/>
      <w:r w:rsidRPr="00B43A8C">
        <w:rPr>
          <w:rFonts w:ascii="Times New Roman" w:hAnsi="Times New Roman" w:cs="Times New Roman"/>
          <w:b/>
          <w:color w:val="auto"/>
          <w:sz w:val="28"/>
          <w:szCs w:val="24"/>
        </w:rPr>
        <w:t>HASAN KALYONCU ÜNİVERSİTESİ</w:t>
      </w:r>
    </w:p>
    <w:p w14:paraId="741C67B0" w14:textId="16449ACA" w:rsidR="00B43A8C" w:rsidRPr="00B43A8C" w:rsidRDefault="00B43A8C" w:rsidP="00B43A8C">
      <w:pPr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B43A8C">
        <w:rPr>
          <w:rFonts w:ascii="Times New Roman" w:hAnsi="Times New Roman" w:cs="Times New Roman"/>
          <w:b/>
          <w:color w:val="auto"/>
          <w:sz w:val="28"/>
          <w:szCs w:val="24"/>
        </w:rPr>
        <w:t>YÖNETİM POLİTİKASI</w:t>
      </w:r>
    </w:p>
    <w:p w14:paraId="3CB38DC2" w14:textId="77777777" w:rsidR="00B43A8C" w:rsidRPr="00B43A8C" w:rsidRDefault="00B43A8C" w:rsidP="00B43A8C">
      <w:pPr>
        <w:pStyle w:val="NormalWeb"/>
        <w:jc w:val="both"/>
      </w:pPr>
      <w:r w:rsidRPr="00B43A8C">
        <w:t xml:space="preserve">Hasan Kalyoncu Üniversitesi; </w:t>
      </w:r>
      <w:proofErr w:type="gramStart"/>
      <w:r w:rsidRPr="00B43A8C">
        <w:t>misyonu</w:t>
      </w:r>
      <w:proofErr w:type="gramEnd"/>
      <w:r w:rsidRPr="00B43A8C">
        <w:t>, vizyonu ve stratejik amaçları doğrultusunda akademik ve idari faaliyetlerini katılımcı, şeffaf, hesap verebilir ve etik bir yönetim anlayışıyla yürütür. Karar alma süreçlerinde veri ve risk temelli yaklaşımı benimser; kurumsal kaynaklarını hedeflerine ulaşmak üzere etkin ve verimli kullanır.</w:t>
      </w:r>
    </w:p>
    <w:p w14:paraId="4F522637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Misyon ve strateji odaklı yönetişim.</w:t>
      </w:r>
      <w:r w:rsidRPr="00B43A8C">
        <w:t xml:space="preserve"> Yönetim süreçlerini Üniversitenin </w:t>
      </w:r>
      <w:proofErr w:type="gramStart"/>
      <w:r w:rsidRPr="00B43A8C">
        <w:t>misyonu</w:t>
      </w:r>
      <w:proofErr w:type="gramEnd"/>
      <w:r w:rsidRPr="00B43A8C">
        <w:t>, vizyonu, stratejik planı, kalite politikaları ve performans hedefleri doğrultusunda şekillendirir.</w:t>
      </w:r>
    </w:p>
    <w:p w14:paraId="1D90E48C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Yetki, sorumluluk ve hesap verebilirlik.</w:t>
      </w:r>
      <w:r w:rsidRPr="00B43A8C">
        <w:t xml:space="preserve"> Görev ve yetki dağılımının açık olmasını, sorumlulukların belirlenmesini ve karar süreçlerinin izlenebilirliğini esas alır.</w:t>
      </w:r>
    </w:p>
    <w:p w14:paraId="5A9C9D28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Katılımcı yönetim.</w:t>
      </w:r>
      <w:r w:rsidRPr="00B43A8C">
        <w:t xml:space="preserve"> Öğrenci, akademik ve idari personel, mezun, sektör ve diğer dış paydaşların görüşlerinin yönetim kararlarına yansıtılmasını destekler.</w:t>
      </w:r>
    </w:p>
    <w:p w14:paraId="4546009E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Veri temelli karar alma.</w:t>
      </w:r>
      <w:r w:rsidRPr="00B43A8C">
        <w:t xml:space="preserve"> Güvenilir ve güncel kurumsal verilerden yararlanarak karar alma, performans yönetimi ve iyileştirme süreçlerini yürütür.</w:t>
      </w:r>
    </w:p>
    <w:p w14:paraId="29927542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Risk ve fırsat yönetimi.</w:t>
      </w:r>
      <w:r w:rsidRPr="00B43A8C">
        <w:t xml:space="preserve"> Kurumsal faaliyetlere ilişkin stratejik ve </w:t>
      </w:r>
      <w:proofErr w:type="spellStart"/>
      <w:r w:rsidRPr="00B43A8C">
        <w:t>operasyonel</w:t>
      </w:r>
      <w:proofErr w:type="spellEnd"/>
      <w:r w:rsidRPr="00B43A8C">
        <w:t xml:space="preserve"> riskleri, mevzuat ve bilgi güvenliği risklerini değerlendirir; fırsatları gelişim amacıyla kullanır.</w:t>
      </w:r>
    </w:p>
    <w:p w14:paraId="72A91FDE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Kaynakların etkin ve verimli kullanımı.</w:t>
      </w:r>
      <w:r w:rsidRPr="00B43A8C">
        <w:t xml:space="preserve"> İnsan, mali, fiziksel, dijital ve bilgi kaynaklarını kurumsal öncelikler, sürdürülebilirlik ve verimlilik ilkeleri doğrultusunda yönetir.</w:t>
      </w:r>
    </w:p>
    <w:p w14:paraId="5D387F02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İnsan kaynakları ve yetkinlik gelişimi.</w:t>
      </w:r>
      <w:r w:rsidRPr="00B43A8C">
        <w:t xml:space="preserve"> Liyakat, eşitlik ve etik ilkelerini gözetir; çalışanların performanslarını ve mesleki gelişimlerini destekler.</w:t>
      </w:r>
    </w:p>
    <w:p w14:paraId="5B6D5734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 xml:space="preserve">Dijital ve </w:t>
      </w:r>
      <w:proofErr w:type="gramStart"/>
      <w:r w:rsidRPr="00B43A8C">
        <w:rPr>
          <w:rStyle w:val="Gl"/>
          <w:rFonts w:eastAsiaTheme="majorEastAsia"/>
        </w:rPr>
        <w:t>entegre</w:t>
      </w:r>
      <w:proofErr w:type="gramEnd"/>
      <w:r w:rsidRPr="00B43A8C">
        <w:rPr>
          <w:rStyle w:val="Gl"/>
          <w:rFonts w:eastAsiaTheme="majorEastAsia"/>
        </w:rPr>
        <w:t xml:space="preserve"> yönetim.</w:t>
      </w:r>
      <w:r w:rsidRPr="00B43A8C">
        <w:t xml:space="preserve"> Kurumsal bilgi sistemlerinin bütünleşik kullanımını, süreçlerin dijitalleşmesini, bilgi güvenliğini ve iş sürekliliğini gözetir.</w:t>
      </w:r>
    </w:p>
    <w:p w14:paraId="0CB739D0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Süreç ve performans yönetimi.</w:t>
      </w:r>
      <w:r w:rsidRPr="00B43A8C">
        <w:t xml:space="preserve"> Akademik ve idari süreçleri tanımlar, performans göstergelerini stratejik hedeflerle ilişkilendirir ve sonuçları doğrultusunda gerekli düzenlemeleri yapar.</w:t>
      </w:r>
    </w:p>
    <w:p w14:paraId="6C31A4D2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Şeffaflık ve açık iletişim.</w:t>
      </w:r>
      <w:r w:rsidRPr="00B43A8C">
        <w:t xml:space="preserve"> Yönetim kararlarını, performans sonuçlarını ve iyileştirme çalışmalarını ilgili paydaşlarla yetki ve gizlilik sınırları çerçevesinde paylaşır.</w:t>
      </w:r>
    </w:p>
    <w:p w14:paraId="478CF856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Etik ve mevzuata uyum.</w:t>
      </w:r>
      <w:r w:rsidRPr="00B43A8C">
        <w:t xml:space="preserve"> Yasal yükümlülüklere, akademik ve idari etik ilkelere ve Üniversitenin kurumsal değerlerine bağlılığı yönetim faaliyetlerinin temel unsuru olarak benimser.</w:t>
      </w:r>
    </w:p>
    <w:p w14:paraId="061FD263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t>Kurumsal çeviklik ve iş sürekliliği.</w:t>
      </w:r>
      <w:r w:rsidRPr="00B43A8C">
        <w:t xml:space="preserve"> Kriz, afet, teknolojik gelişmeler ve değişen dış koşullara uyum sağlamak için hazırlık, süreklilik ve dönüşüm kapasitesini geliştirir.</w:t>
      </w:r>
    </w:p>
    <w:p w14:paraId="0DD6DCF6" w14:textId="77777777" w:rsidR="00B43A8C" w:rsidRPr="00B43A8C" w:rsidRDefault="00B43A8C" w:rsidP="00B43A8C">
      <w:pPr>
        <w:pStyle w:val="NormalWeb"/>
        <w:jc w:val="both"/>
      </w:pPr>
      <w:r w:rsidRPr="00B43A8C">
        <w:rPr>
          <w:rStyle w:val="Gl"/>
          <w:rFonts w:eastAsiaTheme="majorEastAsia"/>
        </w:rPr>
        <w:lastRenderedPageBreak/>
        <w:t>PUKÖ ile sürekli iyileştirme.</w:t>
      </w:r>
      <w:r w:rsidRPr="00B43A8C">
        <w:t xml:space="preserve"> Yönetim sistemini iç tetkik, anket, YGG, risk analizi, KİDR, dış değerlendirme ve performans sonuçları üzerinden değerlendirir; iyileştirme kararlarının sorumlularını, tamamlanma sürelerini ve kanıtlarını takip eder.</w:t>
      </w:r>
    </w:p>
    <w:p w14:paraId="06E7774D" w14:textId="77777777" w:rsidR="00B43A8C" w:rsidRPr="00B43A8C" w:rsidRDefault="00B43A8C" w:rsidP="00B43A8C">
      <w:pPr>
        <w:pStyle w:val="NormalWeb"/>
        <w:jc w:val="both"/>
      </w:pPr>
      <w:r w:rsidRPr="00B43A8C">
        <w:t>Hasan Kalyoncu Üniversitesi, güvene, katılıma, kurumsal öğrenmeye ve ölçülebilir performansa dayalı bir yönetim anlayışını benimser. Kararların kanıtlarla desteklendiği, sonuçların değerlendirildiği ve iyileştirmelerin uygulamaya aktarıldığı bir yönetişim kültürünü geliştirmeyi taahhüt eder.</w:t>
      </w:r>
    </w:p>
    <w:p w14:paraId="5F85759B" w14:textId="77777777" w:rsidR="00C473D0" w:rsidRPr="00B43A8C" w:rsidRDefault="00C473D0" w:rsidP="00B43A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473D0" w:rsidRPr="00B43A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9ECDF" w14:textId="77777777" w:rsidR="00B43A8C" w:rsidRDefault="00B43A8C" w:rsidP="00B43A8C">
      <w:pPr>
        <w:spacing w:after="0" w:line="240" w:lineRule="auto"/>
      </w:pPr>
      <w:r>
        <w:separator/>
      </w:r>
    </w:p>
  </w:endnote>
  <w:endnote w:type="continuationSeparator" w:id="0">
    <w:p w14:paraId="405FA3E0" w14:textId="77777777" w:rsidR="00B43A8C" w:rsidRDefault="00B43A8C" w:rsidP="00B43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D0D19" w14:textId="7A8900D2" w:rsidR="002F7A7B" w:rsidRDefault="002F7A7B" w:rsidP="002F7A7B">
    <w:pPr>
      <w:rPr>
        <w:rFonts w:asciiTheme="minorHAnsi" w:eastAsiaTheme="minorHAnsi" w:hAnsiTheme="minorHAnsi"/>
        <w:color w:val="auto"/>
        <w:sz w:val="22"/>
        <w:lang w:val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no: R.POL.05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Yayın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Tarihi</w:t>
    </w:r>
    <w:proofErr w:type="spellEnd"/>
    <w:r>
      <w:rPr>
        <w:rFonts w:ascii="Arial" w:hAnsi="Arial" w:cs="Arial"/>
        <w:color w:val="000000"/>
        <w:sz w:val="16"/>
        <w:szCs w:val="16"/>
      </w:rPr>
      <w:t>: 26.03.2018 Rev no/</w:t>
    </w:r>
    <w:proofErr w:type="spellStart"/>
    <w:r>
      <w:rPr>
        <w:rFonts w:ascii="Arial" w:hAnsi="Arial" w:cs="Arial"/>
        <w:color w:val="000000"/>
        <w:sz w:val="16"/>
        <w:szCs w:val="16"/>
      </w:rPr>
      <w:t>Tarih</w:t>
    </w:r>
    <w:proofErr w:type="spellEnd"/>
    <w:r>
      <w:rPr>
        <w:rFonts w:ascii="Arial" w:hAnsi="Arial" w:cs="Arial"/>
        <w:color w:val="000000"/>
        <w:sz w:val="16"/>
        <w:szCs w:val="16"/>
      </w:rPr>
      <w:t>: 01/01.09.2026</w:t>
    </w:r>
  </w:p>
  <w:p w14:paraId="4233C437" w14:textId="1B9BA89F" w:rsidR="002F7A7B" w:rsidRDefault="002F7A7B">
    <w:pPr>
      <w:pStyle w:val="AltBilgi"/>
    </w:pPr>
  </w:p>
  <w:p w14:paraId="5D9A8B5F" w14:textId="77777777" w:rsidR="002F7A7B" w:rsidRDefault="002F7A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5AACC" w14:textId="77777777" w:rsidR="00B43A8C" w:rsidRDefault="00B43A8C" w:rsidP="00B43A8C">
      <w:pPr>
        <w:spacing w:after="0" w:line="240" w:lineRule="auto"/>
      </w:pPr>
      <w:r>
        <w:separator/>
      </w:r>
    </w:p>
  </w:footnote>
  <w:footnote w:type="continuationSeparator" w:id="0">
    <w:p w14:paraId="39538B1E" w14:textId="77777777" w:rsidR="00B43A8C" w:rsidRDefault="00B43A8C" w:rsidP="00B43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4976A" w14:textId="624F76BC" w:rsidR="00B43A8C" w:rsidRDefault="00B43A8C" w:rsidP="00B43A8C">
    <w:pPr>
      <w:pStyle w:val="stBilgi"/>
      <w:jc w:val="center"/>
    </w:pPr>
    <w:r>
      <w:rPr>
        <w:noProof/>
        <w:lang w:val="tr-TR" w:eastAsia="tr-TR"/>
        <w14:ligatures w14:val="standardContextual"/>
      </w:rPr>
      <w:drawing>
        <wp:inline distT="0" distB="0" distL="0" distR="0" wp14:anchorId="1D8AF286" wp14:editId="7686CB8E">
          <wp:extent cx="723900" cy="731520"/>
          <wp:effectExtent l="0" t="0" r="0" b="0"/>
          <wp:docPr id="5" name="Resi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112FE"/>
    <w:multiLevelType w:val="multilevel"/>
    <w:tmpl w:val="AFBC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C5"/>
    <w:rsid w:val="002E4AC5"/>
    <w:rsid w:val="002F7A7B"/>
    <w:rsid w:val="00A56826"/>
    <w:rsid w:val="00B43A8C"/>
    <w:rsid w:val="00C473D0"/>
    <w:rsid w:val="00D7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AAF6"/>
  <w15:chartTrackingRefBased/>
  <w15:docId w15:val="{6D5A07CB-66AC-465C-9E6A-4132A731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AC5"/>
    <w:pPr>
      <w:spacing w:after="100"/>
    </w:pPr>
    <w:rPr>
      <w:rFonts w:ascii="Aptos" w:eastAsiaTheme="minorEastAsia" w:hAnsi="Aptos"/>
      <w:color w:val="1F1F1F"/>
      <w:kern w:val="0"/>
      <w:sz w:val="19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4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4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4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4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4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4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4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4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4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4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4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4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4AC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4AC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4AC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4AC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4AC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4AC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4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4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4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4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4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4AC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4AC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4AC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4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4AC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4AC5"/>
    <w:rPr>
      <w:b/>
      <w:bCs/>
      <w:smallCaps/>
      <w:color w:val="0F4761" w:themeColor="accent1" w:themeShade="BF"/>
      <w:spacing w:val="5"/>
    </w:rPr>
  </w:style>
  <w:style w:type="paragraph" w:customStyle="1" w:styleId="PolicyItem">
    <w:name w:val="Policy Item"/>
    <w:rsid w:val="002E4AC5"/>
    <w:pPr>
      <w:spacing w:after="100" w:line="276" w:lineRule="auto"/>
    </w:pPr>
    <w:rPr>
      <w:rFonts w:ascii="Aptos" w:eastAsiaTheme="minorEastAsia" w:hAnsi="Aptos"/>
      <w:kern w:val="0"/>
      <w:sz w:val="19"/>
      <w:lang w:val="en-US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B43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3A8C"/>
    <w:rPr>
      <w:rFonts w:ascii="Aptos" w:eastAsiaTheme="minorEastAsia" w:hAnsi="Aptos"/>
      <w:color w:val="1F1F1F"/>
      <w:kern w:val="0"/>
      <w:sz w:val="19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43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3A8C"/>
    <w:rPr>
      <w:rFonts w:ascii="Aptos" w:eastAsiaTheme="minorEastAsia" w:hAnsi="Aptos"/>
      <w:color w:val="1F1F1F"/>
      <w:kern w:val="0"/>
      <w:sz w:val="19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43A8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B43A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2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 RENGIN KUCUKERDOGAN</dc:creator>
  <cp:keywords/>
  <dc:description/>
  <cp:lastModifiedBy>AYSE DAG</cp:lastModifiedBy>
  <cp:revision>3</cp:revision>
  <dcterms:created xsi:type="dcterms:W3CDTF">2026-10-19T10:47:00Z</dcterms:created>
  <dcterms:modified xsi:type="dcterms:W3CDTF">2026-10-22T13:31:00Z</dcterms:modified>
</cp:coreProperties>
</file>